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E4AAC" w14:textId="77777777" w:rsidR="001C7032" w:rsidRDefault="001C7032"/>
    <w:p w14:paraId="7BA38FE2" w14:textId="12E471BE" w:rsidR="001C7032" w:rsidRDefault="00331572">
      <w:r>
        <w:t>Infermieri nel dibattito sulla Riforma Costituzionale</w:t>
      </w:r>
      <w:bookmarkStart w:id="0" w:name="_GoBack"/>
      <w:bookmarkEnd w:id="0"/>
      <w:r>
        <w:t xml:space="preserve">: </w:t>
      </w:r>
      <w:r w:rsidR="001C7032">
        <w:t>LE</w:t>
      </w:r>
      <w:r>
        <w:t xml:space="preserve"> RAGIONI DEL SI </w:t>
      </w:r>
    </w:p>
    <w:p w14:paraId="4F7E9B45" w14:textId="77777777" w:rsidR="000023E0" w:rsidRDefault="000023E0"/>
    <w:p w14:paraId="4944AA8F" w14:textId="7C85143C" w:rsidR="00E15E6F" w:rsidRDefault="000023E0">
      <w:r>
        <w:rPr>
          <w:noProof/>
          <w:lang w:val="en-US"/>
        </w:rPr>
        <w:drawing>
          <wp:inline distT="0" distB="0" distL="0" distR="0" wp14:anchorId="18662EBF" wp14:editId="26ACD546">
            <wp:extent cx="5270500" cy="2972435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pia-di-La-Riforma-della-Costituzione-750x42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7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3C46A" w14:textId="77777777" w:rsidR="001C7032" w:rsidRDefault="001C7032"/>
    <w:p w14:paraId="73230553" w14:textId="77777777" w:rsidR="001C7032" w:rsidRDefault="001C7032" w:rsidP="00B54830">
      <w:r>
        <w:t xml:space="preserve">Il 4 dicembre 2016 tutti i cittadini italiani saranno chiamati a esprimersi sulla riforma della Costituzione. Se vinceranno i </w:t>
      </w:r>
      <w:proofErr w:type="gramStart"/>
      <w:r>
        <w:t>si</w:t>
      </w:r>
      <w:proofErr w:type="gramEnd"/>
      <w:r>
        <w:t>, entrerà in vigore la Costituzione modificata in numerosi aspetti: fine del bicameralismo perfetto con Senato più snello (100 Senatori) e composto da sindaci e consiglieri regionali; fiducia al Governo solo alla Camera (rappresenterà la Nazione, il Senato le autonomie territoriali); riduzione dei costi (taglio emolumenti ai gruppi regionali e alle indennità dei consiglieri); modifica del titolo V (rapporti Stato – Regioni) con eliminazione della legislazione concorrente e attribuzione allo Stato di materie (grandi reti infrastrutturali, energia), abolizione di CNEL e Provincie.</w:t>
      </w:r>
    </w:p>
    <w:p w14:paraId="219033CB" w14:textId="77777777" w:rsidR="001C7032" w:rsidRDefault="001C7032">
      <w:r>
        <w:t xml:space="preserve">Anche noi infermieri, ovviamente, dovremo confermarla o rifiutarla con un semplice segno sulla scheda: </w:t>
      </w:r>
      <w:proofErr w:type="gramStart"/>
      <w:r>
        <w:t>si</w:t>
      </w:r>
      <w:proofErr w:type="gramEnd"/>
      <w:r>
        <w:t xml:space="preserve"> o no.</w:t>
      </w:r>
    </w:p>
    <w:p w14:paraId="341FC94A" w14:textId="77777777" w:rsidR="001C7032" w:rsidRDefault="001C7032">
      <w:r>
        <w:t xml:space="preserve">Il dibattito è partito, sia nelle unità operative sia sui social forum frequentati da colleghi come i gruppi </w:t>
      </w:r>
      <w:proofErr w:type="spellStart"/>
      <w:r>
        <w:t>Facebook</w:t>
      </w:r>
      <w:proofErr w:type="spellEnd"/>
      <w:r>
        <w:t xml:space="preserve"> locali e nazionali del sindacato </w:t>
      </w:r>
      <w:proofErr w:type="spellStart"/>
      <w:r>
        <w:t>Nursind</w:t>
      </w:r>
      <w:proofErr w:type="spellEnd"/>
      <w:r>
        <w:t xml:space="preserve">. </w:t>
      </w:r>
    </w:p>
    <w:p w14:paraId="4279EDDB" w14:textId="77777777" w:rsidR="001C7032" w:rsidRDefault="001C7032">
      <w:r>
        <w:t xml:space="preserve">Emerge su questi ultimi una preponderanza delle ragioni </w:t>
      </w:r>
      <w:proofErr w:type="gramStart"/>
      <w:r>
        <w:t>del no alla riforma</w:t>
      </w:r>
      <w:proofErr w:type="gramEnd"/>
      <w:r>
        <w:t xml:space="preserve">, soprattutto sulla scia delle autorevoli opinioni del dott. Luca Benci, persona molto stimata e da sempre vicina alla categoria infermieristica. </w:t>
      </w:r>
    </w:p>
    <w:p w14:paraId="5AA6B975" w14:textId="77777777" w:rsidR="001C7032" w:rsidRDefault="001C7032">
      <w:r>
        <w:t xml:space="preserve">Vorrei perciò contribuire al dibattito illustrando le mie ragioni del </w:t>
      </w:r>
      <w:proofErr w:type="gramStart"/>
      <w:r>
        <w:t>si</w:t>
      </w:r>
      <w:proofErr w:type="gramEnd"/>
      <w:r>
        <w:t xml:space="preserve"> alla riforma costituzionale, partendo proprio dalle osservazioni del dott. Benci su uno dei temi toccati e verso il quale siamo maggiormente interessati come professionisti: la </w:t>
      </w:r>
      <w:r w:rsidRPr="00BD184E">
        <w:rPr>
          <w:b/>
        </w:rPr>
        <w:t>tutela della salute</w:t>
      </w:r>
      <w:r>
        <w:t>, collegata alla riforma del Titolo V.</w:t>
      </w:r>
    </w:p>
    <w:p w14:paraId="4925A19C" w14:textId="77777777" w:rsidR="001C7032" w:rsidRDefault="001C7032">
      <w:r>
        <w:t>Il dott. Benci evoca i rischi di una neo-centralizzazione e di una ri</w:t>
      </w:r>
      <w:r w:rsidR="00B54830">
        <w:t xml:space="preserve">duzione del ruolo </w:t>
      </w:r>
      <w:proofErr w:type="gramStart"/>
      <w:r w:rsidR="00B54830">
        <w:t>delle</w:t>
      </w:r>
      <w:proofErr w:type="gramEnd"/>
      <w:r w:rsidR="00B54830">
        <w:t xml:space="preserve"> regioni</w:t>
      </w:r>
      <w:r>
        <w:t xml:space="preserve">. La riforma </w:t>
      </w:r>
      <w:r w:rsidRPr="00BD184E">
        <w:rPr>
          <w:b/>
        </w:rPr>
        <w:t>elimina la legislazione concorrente</w:t>
      </w:r>
      <w:r>
        <w:t xml:space="preserve">, ove era inserita la materia “tutela della salute”; </w:t>
      </w:r>
      <w:r w:rsidR="00B54830">
        <w:t>“</w:t>
      </w:r>
      <w:r>
        <w:t>concorrente</w:t>
      </w:r>
      <w:r w:rsidR="00B54830">
        <w:t>”</w:t>
      </w:r>
      <w:r>
        <w:t xml:space="preserve"> significa che lo Stato emana i principi generali e la regione li applica e li cala nella realtà locale, legiferando sulla materia in maniera secondaria. </w:t>
      </w:r>
    </w:p>
    <w:p w14:paraId="43B5AAEC" w14:textId="63F047A7" w:rsidR="001C7032" w:rsidRDefault="00C234ED">
      <w:proofErr w:type="gramStart"/>
      <w:r>
        <w:t>Risultano</w:t>
      </w:r>
      <w:proofErr w:type="gramEnd"/>
      <w:r w:rsidR="001C7032">
        <w:t xml:space="preserve"> aggiunte al secondo comma dell’art. 117 (</w:t>
      </w:r>
      <w:r w:rsidR="001C7032" w:rsidRPr="00BD184E">
        <w:rPr>
          <w:u w:val="single"/>
        </w:rPr>
        <w:t>Legislazione esclusiva dello Stato</w:t>
      </w:r>
      <w:r w:rsidR="001C7032">
        <w:t>), lettera m, le “</w:t>
      </w:r>
      <w:r w:rsidR="001C7032" w:rsidRPr="00BD184E">
        <w:rPr>
          <w:b/>
        </w:rPr>
        <w:t>disposizioni generali e comuni per la tutela della salute, per le politiche sociali e per la sicurezza alimentare</w:t>
      </w:r>
      <w:r w:rsidR="001C7032">
        <w:t xml:space="preserve">”. Alle </w:t>
      </w:r>
      <w:r w:rsidR="001C7032" w:rsidRPr="00BD184E">
        <w:rPr>
          <w:u w:val="single"/>
        </w:rPr>
        <w:t>regioni</w:t>
      </w:r>
      <w:r w:rsidR="001C7032">
        <w:t xml:space="preserve"> resta la </w:t>
      </w:r>
      <w:r w:rsidR="001C7032">
        <w:lastRenderedPageBreak/>
        <w:t>potestà “</w:t>
      </w:r>
      <w:r w:rsidR="001C7032" w:rsidRPr="00BD184E">
        <w:rPr>
          <w:b/>
        </w:rPr>
        <w:t>di programmazione e organizzazione dei servizi sanitari e sociali</w:t>
      </w:r>
      <w:r w:rsidR="001C7032">
        <w:t xml:space="preserve">” (comma </w:t>
      </w:r>
      <w:proofErr w:type="gramStart"/>
      <w:r w:rsidR="001C7032">
        <w:t>3</w:t>
      </w:r>
      <w:proofErr w:type="gramEnd"/>
      <w:r w:rsidR="001C7032">
        <w:t>, art. 117</w:t>
      </w:r>
      <w:proofErr w:type="gramStart"/>
      <w:r w:rsidR="001C7032">
        <w:t>).</w:t>
      </w:r>
      <w:proofErr w:type="gramEnd"/>
      <w:r w:rsidR="001C7032">
        <w:t xml:space="preserve"> </w:t>
      </w:r>
    </w:p>
    <w:p w14:paraId="2B6B03FD" w14:textId="13F9C164" w:rsidR="001C7032" w:rsidRDefault="000023E0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1DF947F4" wp14:editId="7E2494A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7750" cy="2501900"/>
            <wp:effectExtent l="0" t="0" r="0" b="12700"/>
            <wp:wrapTight wrapText="bothSides">
              <wp:wrapPolygon edited="0">
                <wp:start x="0" y="0"/>
                <wp:lineTo x="0" y="21490"/>
                <wp:lineTo x="21304" y="21490"/>
                <wp:lineTo x="2130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forma-costituzionale-infografic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775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032">
        <w:t xml:space="preserve">Questo a mio modo di vedere è un elemento di chiarezza; la legislazione concorrente ha portato a differenziazioni anche sostanziali sul piano dell’offerta dei servizi sanitari e sui livelli di assistenza (fantomatici LEA) con squilibri notevoli tra le regioni. Inoltre </w:t>
      </w:r>
      <w:r>
        <w:t xml:space="preserve">sono stati promossi negli ultimi anni </w:t>
      </w:r>
      <w:r w:rsidR="001C7032">
        <w:t xml:space="preserve">numerosi conflitti di competenza di fronte alla Corte Costituzionale, rallentando il processo </w:t>
      </w:r>
      <w:r>
        <w:t>legislativo e ingenerando costi; anche se</w:t>
      </w:r>
      <w:r w:rsidR="001C7032">
        <w:t xml:space="preserve"> </w:t>
      </w:r>
      <w:r w:rsidR="00292BE2">
        <w:t>promossi</w:t>
      </w:r>
      <w:r>
        <w:t xml:space="preserve"> </w:t>
      </w:r>
      <w:r w:rsidR="001C7032">
        <w:t>prevalentemente dallo Stato (come sostiene Benc</w:t>
      </w:r>
      <w:r w:rsidR="00477BDE">
        <w:t>i) ciò non toglie che essi abbiano rallentato il procedimento legislativo</w:t>
      </w:r>
      <w:r w:rsidR="00B54830">
        <w:t xml:space="preserve"> né il fatto assolve</w:t>
      </w:r>
      <w:r w:rsidR="001C7032">
        <w:t xml:space="preserve"> le regioni da errori o violazioni di varia natura. L’essere diverse regioni sotto piano di rientro e qui</w:t>
      </w:r>
      <w:r w:rsidR="002E2E3B">
        <w:t>ndi, di fatto, amministrate dallo</w:t>
      </w:r>
      <w:r w:rsidR="001C7032">
        <w:t xml:space="preserve"> Stato </w:t>
      </w:r>
      <w:r w:rsidR="002E2E3B">
        <w:t xml:space="preserve">in materia di sanità, </w:t>
      </w:r>
      <w:r w:rsidR="001C7032">
        <w:t xml:space="preserve">rafforza, non diminuisce, le motivazioni della riforma: </w:t>
      </w:r>
      <w:r w:rsidR="00F50508">
        <w:t>le regioni che sprecano sono poste</w:t>
      </w:r>
      <w:r w:rsidR="00B54830">
        <w:t xml:space="preserve"> sotto tutela. Un rafforzamento del controllo statale</w:t>
      </w:r>
      <w:r w:rsidR="00C234ED">
        <w:t xml:space="preserve"> in materia</w:t>
      </w:r>
      <w:r w:rsidR="00B54830">
        <w:t xml:space="preserve">, quindi, può dissuadere </w:t>
      </w:r>
      <w:r w:rsidR="00840188">
        <w:t xml:space="preserve">gli enti locali </w:t>
      </w:r>
      <w:r w:rsidR="00B54830">
        <w:t>da sprechi e inefficienze.</w:t>
      </w:r>
    </w:p>
    <w:p w14:paraId="4384DC19" w14:textId="610DC994" w:rsidR="001C7032" w:rsidRDefault="001C7032">
      <w:r>
        <w:t>Con il potere sostitutivo, dettato da ragioni di tutela dell’unità giuridica della Repubblica (4°</w:t>
      </w:r>
      <w:r w:rsidR="007831DD">
        <w:t xml:space="preserve"> comma art. 117 come modificato dalla riforma</w:t>
      </w:r>
      <w:proofErr w:type="gramStart"/>
      <w:r w:rsidR="007831DD">
        <w:t>)</w:t>
      </w:r>
      <w:proofErr w:type="gramEnd"/>
      <w:r>
        <w:t xml:space="preserve"> lo Stato potrà intervenire con procedimento monocamerale rafforzato: se il Senato si esprimerà a maggioranza assoluta, la Camera dovrà esprimersi a maggioranza assoluta per andare con</w:t>
      </w:r>
      <w:r w:rsidR="002E2E3B">
        <w:t>tro il parere del Senato. Questa procedura è descritta da Benci negativamente, probabilmente</w:t>
      </w:r>
      <w:r>
        <w:t xml:space="preserve"> in un’ottica federalista</w:t>
      </w:r>
      <w:r w:rsidR="002E2E3B">
        <w:t xml:space="preserve"> verso la quale propende di più</w:t>
      </w:r>
      <w:r>
        <w:t xml:space="preserve">; </w:t>
      </w:r>
      <w:r w:rsidR="00B54830">
        <w:t>pe</w:t>
      </w:r>
      <w:r w:rsidR="000023E0">
        <w:t>r me è il contrari</w:t>
      </w:r>
      <w:r w:rsidR="00EB1001">
        <w:t xml:space="preserve">o, come ho </w:t>
      </w:r>
      <w:r w:rsidR="003B53E2">
        <w:t>in precedenza spiegato. Si dovrà tener conto</w:t>
      </w:r>
      <w:r w:rsidR="007831DD">
        <w:t xml:space="preserve"> comunque </w:t>
      </w:r>
      <w:r w:rsidR="003B53E2">
        <w:t>del</w:t>
      </w:r>
      <w:r w:rsidR="007831DD">
        <w:t>l’autorevole parere d</w:t>
      </w:r>
      <w:r w:rsidR="001E0612">
        <w:t xml:space="preserve">el Senato, dove sono rappresentate tutte le </w:t>
      </w:r>
      <w:r w:rsidR="007831DD">
        <w:t>regioni.</w:t>
      </w:r>
    </w:p>
    <w:p w14:paraId="5AFC8718" w14:textId="232C6204" w:rsidR="001C7032" w:rsidRDefault="00537223">
      <w:r>
        <w:t>L</w:t>
      </w:r>
      <w:r w:rsidR="001C7032">
        <w:t>’art. 32 della Costituzione stabilisce che “</w:t>
      </w:r>
      <w:r w:rsidR="001C7032" w:rsidRPr="00BD184E">
        <w:rPr>
          <w:b/>
        </w:rPr>
        <w:t>la Repubblica tutela la salute come fondamentale diritto dell’individuo e interesse della collettività</w:t>
      </w:r>
      <w:r w:rsidR="001C7032">
        <w:t>”; la riforma non tocca la prim</w:t>
      </w:r>
      <w:r w:rsidR="002A32F0">
        <w:t>a parte della Costituzione, con</w:t>
      </w:r>
      <w:r w:rsidR="001C7032">
        <w:t xml:space="preserve"> i principi fondamentali. Il tema della salute nel Titolo V così riformato mi sembra più in sintonia con l’art. 32; le regioni potranno organizzare, pianificare, legiferare ma la tutela della salute come principio </w:t>
      </w:r>
      <w:r w:rsidR="00285BAD">
        <w:t>spetterà</w:t>
      </w:r>
      <w:r w:rsidR="001C7032">
        <w:t xml:space="preserve"> allo Stato. </w:t>
      </w:r>
    </w:p>
    <w:p w14:paraId="24D77FA8" w14:textId="255650AF" w:rsidR="001C7032" w:rsidRDefault="00537223">
      <w:r>
        <w:t>A</w:t>
      </w:r>
      <w:r w:rsidR="001C7032">
        <w:t>rgomento strettamente connesso, sempre al comma 2° lettera m</w:t>
      </w:r>
      <w:proofErr w:type="gramStart"/>
      <w:r>
        <w:t>)</w:t>
      </w:r>
      <w:proofErr w:type="gramEnd"/>
      <w:r w:rsidR="001C7032">
        <w:t xml:space="preserve"> sopra-citato sono aggiunte “</w:t>
      </w:r>
      <w:r w:rsidR="001C7032" w:rsidRPr="00465EB4">
        <w:rPr>
          <w:b/>
        </w:rPr>
        <w:t>le politiche sociali</w:t>
      </w:r>
      <w:r w:rsidR="001C7032">
        <w:t>” alla legislazione esclusiva dello Stato. Come sostiene Irene Tinagli, la riforma del titolo V del 2001 ha aperto la strada a una serie infinita di ricorsi da parte delle regioni che hanno costretto spesso lo Stato a modificare o cancellare numerose iniziative positive</w:t>
      </w:r>
      <w:r w:rsidR="001079AE">
        <w:t xml:space="preserve"> in materie di politica sociale. </w:t>
      </w:r>
      <w:r w:rsidR="001C7032">
        <w:t>Sono stati impugnati numerosi atti e bloccati fondi e stanziamenti, ad esempio su politiche per la famiglia o sugli asili nido; questi</w:t>
      </w:r>
      <w:r>
        <w:t xml:space="preserve"> dati, oltre all’ingente numero complessivo</w:t>
      </w:r>
      <w:r w:rsidR="001C7032">
        <w:t xml:space="preserve"> di giudizi riguardanti conflitti di competenza </w:t>
      </w:r>
      <w:r w:rsidR="004137C6">
        <w:t>(illustrati nel grafico)</w:t>
      </w:r>
      <w:r w:rsidR="001C7032">
        <w:t>, rafforzano il mio convincimento a favore della riforma.</w:t>
      </w:r>
    </w:p>
    <w:p w14:paraId="7A4924FF" w14:textId="77777777" w:rsidR="001C7032" w:rsidRDefault="001C7032"/>
    <w:p w14:paraId="631D4A17" w14:textId="77777777" w:rsidR="001C7032" w:rsidRDefault="001C7032">
      <w:r w:rsidRPr="000304B7">
        <w:rPr>
          <w:noProof/>
          <w:lang w:val="en-US"/>
        </w:rPr>
        <w:drawing>
          <wp:inline distT="0" distB="0" distL="0" distR="0" wp14:anchorId="135BD579" wp14:editId="45194438">
            <wp:extent cx="3886200" cy="331310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6-09-26 alle 12.11.40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7231" cy="331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B02D24" w14:textId="77777777" w:rsidR="001C7032" w:rsidRDefault="001C7032">
      <w:r w:rsidRPr="000304B7">
        <w:rPr>
          <w:noProof/>
          <w:lang w:val="en-US"/>
        </w:rPr>
        <w:drawing>
          <wp:inline distT="0" distB="0" distL="0" distR="0" wp14:anchorId="755AFA32" wp14:editId="3E3D58E9">
            <wp:extent cx="3890014" cy="10020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6-09-26 alle 12.12.2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014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C0C7A7" w14:textId="77777777" w:rsidR="001C7032" w:rsidRDefault="001C7032"/>
    <w:p w14:paraId="38B7F1AA" w14:textId="77777777" w:rsidR="001C7032" w:rsidRDefault="001C7032">
      <w:r>
        <w:t xml:space="preserve">Passo adesso ad altre considerazioni di carattere generale a favore del </w:t>
      </w:r>
      <w:proofErr w:type="gramStart"/>
      <w:r>
        <w:t>si</w:t>
      </w:r>
      <w:proofErr w:type="gramEnd"/>
      <w:r>
        <w:t xml:space="preserve"> alla riforma.</w:t>
      </w:r>
    </w:p>
    <w:p w14:paraId="03BECFBF" w14:textId="77777777" w:rsidR="001C7032" w:rsidRDefault="001C7032" w:rsidP="00C5059F">
      <w:pPr>
        <w:pStyle w:val="ListParagraph"/>
      </w:pPr>
    </w:p>
    <w:p w14:paraId="4A34735B" w14:textId="77777777" w:rsidR="001C7032" w:rsidRDefault="001C7032" w:rsidP="00C5059F">
      <w:pPr>
        <w:pStyle w:val="ListParagraph"/>
      </w:pPr>
    </w:p>
    <w:p w14:paraId="593A40E6" w14:textId="77777777" w:rsidR="001C7032" w:rsidRDefault="001C7032" w:rsidP="00C5059F">
      <w:pPr>
        <w:pStyle w:val="ListParagraph"/>
      </w:pPr>
    </w:p>
    <w:p w14:paraId="2AD8A567" w14:textId="302E675F" w:rsidR="001C7032" w:rsidRPr="004137C6" w:rsidRDefault="001C7032" w:rsidP="00C5059F">
      <w:pPr>
        <w:pStyle w:val="ListParagraph"/>
        <w:numPr>
          <w:ilvl w:val="0"/>
          <w:numId w:val="1"/>
        </w:numPr>
        <w:rPr>
          <w:u w:val="single"/>
        </w:rPr>
      </w:pPr>
      <w:r w:rsidRPr="004137C6">
        <w:rPr>
          <w:u w:val="single"/>
        </w:rPr>
        <w:t>Superamento del bicameralismo paritario</w:t>
      </w:r>
      <w:r w:rsidR="00C5059F">
        <w:rPr>
          <w:u w:val="single"/>
        </w:rPr>
        <w:t>.</w:t>
      </w:r>
    </w:p>
    <w:p w14:paraId="544E1ED5" w14:textId="77777777" w:rsidR="001C7032" w:rsidRDefault="001C7032" w:rsidP="00C5059F">
      <w:pPr>
        <w:pStyle w:val="ListParagraph"/>
      </w:pPr>
    </w:p>
    <w:p w14:paraId="5401B6FB" w14:textId="2DDD6C80" w:rsidR="001C7032" w:rsidRDefault="001C7032" w:rsidP="004137C6">
      <w:pPr>
        <w:pStyle w:val="ListParagraph"/>
        <w:ind w:left="0"/>
      </w:pPr>
      <w:r>
        <w:t xml:space="preserve">Erano anni che si discuteva sulla materia. Una seconda camera, doppione della prima, non esiste in quasi nessuno stato democratico; in tutti i </w:t>
      </w:r>
      <w:r w:rsidR="003B659E">
        <w:t>grandi paesi europei</w:t>
      </w:r>
      <w:r>
        <w:t xml:space="preserve"> la seconda camera rappresenta i territori e non la Nazione nella sua interezza. Con la riforma </w:t>
      </w:r>
      <w:r w:rsidR="00556DCB">
        <w:t>la Camera dei Deputati</w:t>
      </w:r>
      <w:r w:rsidR="003B659E">
        <w:t>, appunto,</w:t>
      </w:r>
      <w:r w:rsidR="00556DCB">
        <w:t xml:space="preserve"> rappresenterà la Nazione, il Senato</w:t>
      </w:r>
      <w:r>
        <w:t xml:space="preserve"> le autonomie territoriali; </w:t>
      </w:r>
      <w:r w:rsidR="00556DCB">
        <w:t>esso interverrà paritariamente</w:t>
      </w:r>
      <w:r>
        <w:t xml:space="preserve"> (come </w:t>
      </w:r>
      <w:r w:rsidR="003B659E">
        <w:t>finora</w:t>
      </w:r>
      <w:r>
        <w:t>) solamente su un num</w:t>
      </w:r>
      <w:r w:rsidR="00556DCB">
        <w:t>ero limitato di materie (</w:t>
      </w:r>
      <w:r>
        <w:t xml:space="preserve">riforme costituzionali, leggi elettorali, formazione e applicazione del diritto europeo) e non darà più la fiducia al Governo. </w:t>
      </w:r>
    </w:p>
    <w:p w14:paraId="47CF3E34" w14:textId="211A8A3C" w:rsidR="00C5059F" w:rsidRDefault="00556DCB" w:rsidP="004137C6">
      <w:pPr>
        <w:pStyle w:val="ListParagraph"/>
        <w:ind w:left="0"/>
      </w:pPr>
      <w:r>
        <w:t>Ci sono</w:t>
      </w:r>
      <w:r w:rsidR="001C7032">
        <w:t xml:space="preserve"> perplessità legate a difficoltà interpretative sul binari</w:t>
      </w:r>
      <w:r>
        <w:t>o che le leggi dovranno seguire; da un’analisi sulle leggi approvate in questa legislatura,</w:t>
      </w:r>
      <w:r w:rsidR="001C7032">
        <w:t xml:space="preserve"> si evince come solamente il </w:t>
      </w:r>
      <w:proofErr w:type="gramStart"/>
      <w:r w:rsidR="001C7032">
        <w:t>3-5% di esse</w:t>
      </w:r>
      <w:proofErr w:type="gramEnd"/>
      <w:r w:rsidR="001C7032">
        <w:t xml:space="preserve"> sarebbero</w:t>
      </w:r>
      <w:r>
        <w:t xml:space="preserve"> </w:t>
      </w:r>
      <w:r w:rsidR="003B659E">
        <w:t>state di competenza bicamerale.</w:t>
      </w:r>
      <w:r w:rsidR="00C5059F">
        <w:t xml:space="preserve"> </w:t>
      </w:r>
      <w:r w:rsidR="003B659E">
        <w:t>Pertanto</w:t>
      </w:r>
      <w:r w:rsidR="001C7032">
        <w:t xml:space="preserve"> il procedimento per il 97% delle leggi sarebbe</w:t>
      </w:r>
      <w:r w:rsidR="00C5059F">
        <w:t xml:space="preserve"> </w:t>
      </w:r>
      <w:r w:rsidR="00813941">
        <w:t>di competenza esclusiva Camera, con i</w:t>
      </w:r>
      <w:r w:rsidR="001C7032">
        <w:t xml:space="preserve">l Senato </w:t>
      </w:r>
      <w:r w:rsidR="00813941">
        <w:t xml:space="preserve">che </w:t>
      </w:r>
      <w:r w:rsidR="001C7032">
        <w:t>potrà decidere se esaminare ed emendare anche in questa via</w:t>
      </w:r>
      <w:r w:rsidR="00C5059F">
        <w:t xml:space="preserve"> (su richiesta di 1/3 dei suoi </w:t>
      </w:r>
      <w:proofErr w:type="gramStart"/>
      <w:r w:rsidR="00C5059F">
        <w:t>componenti</w:t>
      </w:r>
      <w:proofErr w:type="gramEnd"/>
      <w:r w:rsidR="00C5059F">
        <w:t>)</w:t>
      </w:r>
      <w:r w:rsidR="001C7032">
        <w:t xml:space="preserve">, ma in questo caso </w:t>
      </w:r>
      <w:r w:rsidR="00DF5361">
        <w:t>sarà la Camera in terza e definitiva</w:t>
      </w:r>
      <w:r w:rsidR="001C7032">
        <w:t xml:space="preserve"> lettu</w:t>
      </w:r>
      <w:r w:rsidR="00B70917">
        <w:t>ra a decidere</w:t>
      </w:r>
      <w:r w:rsidR="001C7032">
        <w:t xml:space="preserve">. </w:t>
      </w:r>
      <w:r w:rsidR="00C5059F">
        <w:t>Ovviamente, se il Senato non richiama, la legge è approvata in prima battuta.</w:t>
      </w:r>
    </w:p>
    <w:p w14:paraId="60D5A0B6" w14:textId="1235E569" w:rsidR="001C7032" w:rsidRDefault="001C7032" w:rsidP="004137C6">
      <w:pPr>
        <w:pStyle w:val="ListParagraph"/>
        <w:ind w:left="0"/>
      </w:pPr>
      <w:r>
        <w:t>Quello appena descritto sarà il procedimento legislativo di base; poi ci sono delle differenze</w:t>
      </w:r>
      <w:r w:rsidR="00B70917">
        <w:t xml:space="preserve"> prevalentemente riguardo ai tempi</w:t>
      </w:r>
      <w:r>
        <w:t>, ad esempio il voto a data certa, la legge finanzi</w:t>
      </w:r>
      <w:r w:rsidR="00C5059F">
        <w:t>aria ma fondamentalmente avremo finalmente</w:t>
      </w:r>
      <w:r>
        <w:t xml:space="preserve"> un monocameralismo di fatto.</w:t>
      </w:r>
    </w:p>
    <w:p w14:paraId="7E8344AC" w14:textId="77777777" w:rsidR="001C7032" w:rsidRDefault="001C7032" w:rsidP="00C5059F">
      <w:pPr>
        <w:pStyle w:val="ListParagraph"/>
      </w:pPr>
    </w:p>
    <w:p w14:paraId="0CEE8388" w14:textId="77777777" w:rsidR="001C7032" w:rsidRDefault="001C7032" w:rsidP="00C5059F">
      <w:pPr>
        <w:pStyle w:val="ListParagraph"/>
      </w:pPr>
    </w:p>
    <w:p w14:paraId="3538B46D" w14:textId="77777777" w:rsidR="001C7032" w:rsidRDefault="001C7032" w:rsidP="00C5059F">
      <w:pPr>
        <w:pStyle w:val="ListParagraph"/>
        <w:numPr>
          <w:ilvl w:val="0"/>
          <w:numId w:val="1"/>
        </w:numPr>
      </w:pPr>
      <w:r w:rsidRPr="00C5059F">
        <w:rPr>
          <w:u w:val="single"/>
        </w:rPr>
        <w:t>Riduzione del numero di parlamentari</w:t>
      </w:r>
      <w:r>
        <w:t>.</w:t>
      </w:r>
    </w:p>
    <w:p w14:paraId="5B6E8007" w14:textId="77777777" w:rsidR="001C7032" w:rsidRDefault="001C7032" w:rsidP="00C5059F">
      <w:pPr>
        <w:pStyle w:val="ListParagraph"/>
      </w:pPr>
    </w:p>
    <w:p w14:paraId="328DE5D4" w14:textId="77777777" w:rsidR="00C409E1" w:rsidRDefault="001C7032" w:rsidP="00C5059F">
      <w:pPr>
        <w:pStyle w:val="ListParagraph"/>
        <w:ind w:left="0"/>
      </w:pPr>
      <w:r>
        <w:t xml:space="preserve">Anche questa era </w:t>
      </w:r>
      <w:proofErr w:type="gramStart"/>
      <w:r>
        <w:t xml:space="preserve">una </w:t>
      </w:r>
      <w:proofErr w:type="gramEnd"/>
      <w:r>
        <w:t>ista</w:t>
      </w:r>
      <w:r w:rsidR="00C5059F">
        <w:t>nza che proveniva da vari settori sociali, politici e culturali. Sono</w:t>
      </w:r>
      <w:r>
        <w:t xml:space="preserve"> tagliati 300 posti, e non sono pochi; i Senatori saranno 100 però le “poltrone” effettivamente eliminate saranno circa 300 poiché per essere Senatore bisognerà essere anche consiglier</w:t>
      </w:r>
      <w:r w:rsidR="00C409E1">
        <w:t xml:space="preserve">e regionale o sindaco. </w:t>
      </w:r>
    </w:p>
    <w:p w14:paraId="393282DB" w14:textId="08B6C3A5" w:rsidR="001C7032" w:rsidRDefault="00C409E1" w:rsidP="00C5059F">
      <w:pPr>
        <w:pStyle w:val="ListParagraph"/>
        <w:ind w:left="0"/>
      </w:pPr>
      <w:r>
        <w:t>I</w:t>
      </w:r>
      <w:r w:rsidR="001C7032">
        <w:t xml:space="preserve">l Senato sarà composto </w:t>
      </w:r>
      <w:proofErr w:type="gramStart"/>
      <w:r w:rsidR="001C7032">
        <w:t>da</w:t>
      </w:r>
      <w:proofErr w:type="gramEnd"/>
      <w:r w:rsidR="001C7032">
        <w:t xml:space="preserve"> 21 sindaci, 74 consiglieri regionali e 5 nominati dal Presidente della Repubblica (pro-tempore per 7 anni, non più a vita come adesso). </w:t>
      </w:r>
    </w:p>
    <w:p w14:paraId="6E4D5614" w14:textId="0512C85A" w:rsidR="00C5059F" w:rsidRDefault="00C5059F" w:rsidP="00C5059F">
      <w:pPr>
        <w:pStyle w:val="ListParagraph"/>
        <w:ind w:left="0"/>
      </w:pPr>
      <w:r>
        <w:t>Anche i Senatori avranno l’immunità</w:t>
      </w:r>
      <w:r w:rsidR="002328AC">
        <w:t xml:space="preserve"> (come adesso)</w:t>
      </w:r>
      <w:r>
        <w:t>; tuttavia, dalla riforma degli anni 90, essa si limita alle intercettazioni,</w:t>
      </w:r>
      <w:r w:rsidR="00C409E1">
        <w:t xml:space="preserve"> alla carcerazione preventiva e all</w:t>
      </w:r>
      <w:r w:rsidR="00DF5361">
        <w:t>e perquisizioni personali, per le</w:t>
      </w:r>
      <w:r w:rsidR="00C409E1">
        <w:t xml:space="preserve"> quali occorre l’autorizzazione dell’assemblea. In caso di sentenza passata in giudicato o flagranza di reato, il parlamentare può essere arrestato.</w:t>
      </w:r>
    </w:p>
    <w:p w14:paraId="61D2DE21" w14:textId="77777777" w:rsidR="001C7032" w:rsidRDefault="001C7032" w:rsidP="00C5059F">
      <w:pPr>
        <w:pStyle w:val="ListParagraph"/>
      </w:pPr>
    </w:p>
    <w:p w14:paraId="71A07845" w14:textId="77777777" w:rsidR="001C7032" w:rsidRDefault="001C7032" w:rsidP="00C5059F">
      <w:pPr>
        <w:pStyle w:val="ListParagraph"/>
      </w:pPr>
    </w:p>
    <w:p w14:paraId="3432D891" w14:textId="77777777" w:rsidR="001C7032" w:rsidRDefault="001C7032" w:rsidP="00C5059F">
      <w:pPr>
        <w:pStyle w:val="ListParagraph"/>
        <w:numPr>
          <w:ilvl w:val="0"/>
          <w:numId w:val="1"/>
        </w:numPr>
      </w:pPr>
      <w:r w:rsidRPr="00C409E1">
        <w:rPr>
          <w:u w:val="single"/>
        </w:rPr>
        <w:t>Riduzione dei costi</w:t>
      </w:r>
      <w:r>
        <w:t>.</w:t>
      </w:r>
    </w:p>
    <w:p w14:paraId="1DAB02ED" w14:textId="77777777" w:rsidR="001C7032" w:rsidRDefault="001C7032" w:rsidP="00C5059F">
      <w:pPr>
        <w:pStyle w:val="ListParagraph"/>
      </w:pPr>
    </w:p>
    <w:p w14:paraId="449C062E" w14:textId="77777777" w:rsidR="001C7032" w:rsidRDefault="001C7032" w:rsidP="00C409E1">
      <w:pPr>
        <w:pStyle w:val="ListParagraph"/>
        <w:ind w:left="0"/>
      </w:pPr>
      <w:r>
        <w:t>Saranno eliminate le indennità per i Senatori, che percepiranno solamente l’indennità regionale o da sindaco.</w:t>
      </w:r>
    </w:p>
    <w:p w14:paraId="30A5E283" w14:textId="24C03A49" w:rsidR="001C7032" w:rsidRDefault="001C7032" w:rsidP="00C409E1">
      <w:pPr>
        <w:pStyle w:val="ListParagraph"/>
        <w:ind w:left="0"/>
      </w:pPr>
      <w:r>
        <w:t>L’indennità per i cons</w:t>
      </w:r>
      <w:r w:rsidR="00F519A5">
        <w:t>iglieri regionali sarà diminuita</w:t>
      </w:r>
      <w:r>
        <w:t xml:space="preserve"> ed equiparata a quella del sindaco del capoluogo regionale.</w:t>
      </w:r>
    </w:p>
    <w:p w14:paraId="66EF8039" w14:textId="77777777" w:rsidR="001C7032" w:rsidRDefault="001C7032" w:rsidP="00C409E1">
      <w:pPr>
        <w:pStyle w:val="ListParagraph"/>
        <w:ind w:left="0"/>
      </w:pPr>
      <w:r>
        <w:t>Sono eliminati i rimborsi ai gruppi nei consigli regionali (quelli degli scandali alla Fiorito, per intenderci).</w:t>
      </w:r>
    </w:p>
    <w:p w14:paraId="0D16F33C" w14:textId="7A319E20" w:rsidR="001C7032" w:rsidRDefault="001C7032" w:rsidP="00C409E1">
      <w:pPr>
        <w:pStyle w:val="ListParagraph"/>
        <w:ind w:left="0"/>
      </w:pPr>
      <w:proofErr w:type="gramStart"/>
      <w:r>
        <w:t>Viene</w:t>
      </w:r>
      <w:proofErr w:type="gramEnd"/>
      <w:r>
        <w:t xml:space="preserve"> eliminato il CNEL (Consiglio per l’Econ</w:t>
      </w:r>
      <w:r w:rsidR="00C409E1">
        <w:t>omia ed il Lavoro), ente che doveva essere una</w:t>
      </w:r>
      <w:r w:rsidR="00DF5361">
        <w:t xml:space="preserve"> istituzione</w:t>
      </w:r>
      <w:r>
        <w:t xml:space="preserve"> di </w:t>
      </w:r>
      <w:r w:rsidR="00DF5361">
        <w:t xml:space="preserve">consulenza del Parlamento e </w:t>
      </w:r>
      <w:r>
        <w:t xml:space="preserve">mediazione tra professioni, lavoratori e imprenditori con </w:t>
      </w:r>
      <w:r w:rsidR="00C409E1">
        <w:t xml:space="preserve">potere di proposta legislativa; </w:t>
      </w:r>
      <w:r>
        <w:t>in tanti anni ha prodotto molto poco</w:t>
      </w:r>
      <w:r w:rsidR="00C409E1">
        <w:t>, poche proposte e credo 0 (zero) leggi... Ha circa 60 consiglieri, ben stipendiati.</w:t>
      </w:r>
    </w:p>
    <w:p w14:paraId="447E072F" w14:textId="77777777" w:rsidR="001C7032" w:rsidRDefault="001C7032" w:rsidP="00C409E1">
      <w:pPr>
        <w:pStyle w:val="ListParagraph"/>
        <w:ind w:left="0"/>
      </w:pPr>
      <w:r>
        <w:t xml:space="preserve">Sono definitivamente abolite le Provincie. </w:t>
      </w:r>
    </w:p>
    <w:p w14:paraId="31E66D5E" w14:textId="77777777" w:rsidR="001C7032" w:rsidRDefault="001C7032" w:rsidP="00C5059F">
      <w:pPr>
        <w:pStyle w:val="ListParagraph"/>
      </w:pPr>
    </w:p>
    <w:p w14:paraId="6FFE7A13" w14:textId="77777777" w:rsidR="001C7032" w:rsidRDefault="001C7032" w:rsidP="00C5059F">
      <w:pPr>
        <w:pStyle w:val="ListParagraph"/>
      </w:pPr>
    </w:p>
    <w:p w14:paraId="448EA0B6" w14:textId="77777777" w:rsidR="00C409E1" w:rsidRDefault="001C7032" w:rsidP="00C5059F">
      <w:pPr>
        <w:pStyle w:val="ListParagraph"/>
        <w:ind w:left="0"/>
      </w:pPr>
      <w:r>
        <w:t xml:space="preserve">Per concludere, credo che una riforma di tale portata debba essere approfondita e studiata da tutti; anche noi professionisti infermieri abbiamo il dovere civico di informarci, leggere e studiare tutto ciò che può avere un forte impatto sulla nostra vita in generale e sul nostro ambito lavorativo. Che si voti </w:t>
      </w:r>
      <w:proofErr w:type="gramStart"/>
      <w:r>
        <w:t>si</w:t>
      </w:r>
      <w:proofErr w:type="gramEnd"/>
      <w:r>
        <w:t xml:space="preserve"> o no, deve essere una scelta consapevole; quello che decidiamo prossimamente avrà effetti nei prossimi 20, 30 anni e deve sicuramente farci riflettere approfonditamente su quanto successo nel pass</w:t>
      </w:r>
      <w:r w:rsidR="00C409E1">
        <w:t xml:space="preserve">ato e su come si ripercuoterà nel futuro. </w:t>
      </w:r>
    </w:p>
    <w:p w14:paraId="29B2A5E3" w14:textId="77777777" w:rsidR="000C5E2C" w:rsidRDefault="00C409E1" w:rsidP="00C5059F">
      <w:pPr>
        <w:pStyle w:val="ListParagraph"/>
        <w:ind w:left="0"/>
      </w:pPr>
      <w:r>
        <w:t>P</w:t>
      </w:r>
      <w:r w:rsidR="001C7032">
        <w:t>enso che il dibattito in corso sia utile anche al fine di studiare l</w:t>
      </w:r>
      <w:r>
        <w:t xml:space="preserve">a Costituzione in generale, i </w:t>
      </w:r>
      <w:r w:rsidR="001C7032">
        <w:t>principi e valori in essa inca</w:t>
      </w:r>
      <w:r w:rsidR="000C5E2C">
        <w:t xml:space="preserve">rdinati, su come si è giunti al loro riconoscimento e su come </w:t>
      </w:r>
      <w:r w:rsidR="001C7032">
        <w:t>si possa proseguire nel vivere in una società veramente partecipativa, inclusiva e democratica.</w:t>
      </w:r>
    </w:p>
    <w:p w14:paraId="109E1D52" w14:textId="4592B4C7" w:rsidR="001C7032" w:rsidRDefault="001C7032" w:rsidP="00C5059F">
      <w:pPr>
        <w:pStyle w:val="ListParagraph"/>
        <w:ind w:left="0"/>
      </w:pPr>
      <w:r>
        <w:t xml:space="preserve"> </w:t>
      </w:r>
    </w:p>
    <w:p w14:paraId="1CD7945B" w14:textId="77777777" w:rsidR="001C7032" w:rsidRDefault="001C7032" w:rsidP="00C5059F">
      <w:pPr>
        <w:pStyle w:val="ListParagraph"/>
        <w:ind w:left="0"/>
      </w:pPr>
    </w:p>
    <w:p w14:paraId="15631811" w14:textId="393B0EC6" w:rsidR="001C7032" w:rsidRDefault="001C7032" w:rsidP="00C5059F">
      <w:r>
        <w:t xml:space="preserve">Antonio </w:t>
      </w:r>
      <w:proofErr w:type="spellStart"/>
      <w:r>
        <w:t>Petruzzo</w:t>
      </w:r>
      <w:proofErr w:type="spellEnd"/>
    </w:p>
    <w:p w14:paraId="159EEFB6" w14:textId="3F3B8179" w:rsidR="001C7032" w:rsidRDefault="001C7032" w:rsidP="00C5059F">
      <w:r>
        <w:t xml:space="preserve">Infermiere </w:t>
      </w:r>
    </w:p>
    <w:p w14:paraId="0D5EE10D" w14:textId="77777777" w:rsidR="001C7032" w:rsidRDefault="001C7032" w:rsidP="00C5059F">
      <w:r>
        <w:t>Azienda Ospedaliera “S. Camillo”</w:t>
      </w:r>
    </w:p>
    <w:p w14:paraId="0BEC7197" w14:textId="77777777" w:rsidR="001C7032" w:rsidRDefault="001C7032" w:rsidP="00C5059F">
      <w:r>
        <w:t>Roma</w:t>
      </w:r>
    </w:p>
    <w:p w14:paraId="08CE545F" w14:textId="77777777" w:rsidR="001C7032" w:rsidRDefault="001C7032" w:rsidP="00C5059F"/>
    <w:p w14:paraId="6E8781EC" w14:textId="77777777" w:rsidR="001C7032" w:rsidRDefault="001C7032" w:rsidP="00C5059F">
      <w:pPr>
        <w:pStyle w:val="ListParagraph"/>
      </w:pPr>
    </w:p>
    <w:p w14:paraId="5F902A87" w14:textId="77777777" w:rsidR="001C7032" w:rsidRDefault="001C7032" w:rsidP="00C5059F">
      <w:pPr>
        <w:pStyle w:val="ListParagraph"/>
      </w:pPr>
    </w:p>
    <w:p w14:paraId="38BC572F" w14:textId="77777777" w:rsidR="001C7032" w:rsidRDefault="001C7032" w:rsidP="00C5059F">
      <w:pPr>
        <w:rPr>
          <w:b/>
        </w:rPr>
      </w:pPr>
      <w:r w:rsidRPr="004945B7">
        <w:rPr>
          <w:b/>
        </w:rPr>
        <w:t>Bibliografia</w:t>
      </w:r>
      <w:r>
        <w:rPr>
          <w:b/>
        </w:rPr>
        <w:t xml:space="preserve"> e approfondimenti</w:t>
      </w:r>
      <w:r w:rsidRPr="004945B7">
        <w:rPr>
          <w:b/>
        </w:rPr>
        <w:t>:</w:t>
      </w:r>
    </w:p>
    <w:p w14:paraId="2C696D42" w14:textId="77777777" w:rsidR="001C7032" w:rsidRDefault="001C7032" w:rsidP="00C5059F">
      <w:pPr>
        <w:rPr>
          <w:b/>
        </w:rPr>
      </w:pPr>
    </w:p>
    <w:p w14:paraId="639145E1" w14:textId="77777777" w:rsidR="001C7032" w:rsidRDefault="001C7032" w:rsidP="00C5059F">
      <w:r>
        <w:t>Il testo della Costituzione così come modificato dalla riforma:</w:t>
      </w:r>
    </w:p>
    <w:p w14:paraId="5732BED3" w14:textId="77777777" w:rsidR="001C7032" w:rsidRDefault="00331572" w:rsidP="00C5059F">
      <w:hyperlink r:id="rId10" w:history="1">
        <w:r w:rsidR="001C7032" w:rsidRPr="004E5635">
          <w:rPr>
            <w:rStyle w:val="Hyperlink"/>
          </w:rPr>
          <w:t>http://www.bastaunsi.it/cambia-la-costituzione/</w:t>
        </w:r>
      </w:hyperlink>
    </w:p>
    <w:p w14:paraId="50CF88AE" w14:textId="77777777" w:rsidR="001C7032" w:rsidRDefault="001C7032" w:rsidP="00C5059F"/>
    <w:p w14:paraId="44BB67DB" w14:textId="77777777" w:rsidR="001C7032" w:rsidRDefault="001C7032" w:rsidP="00C5059F">
      <w:r>
        <w:t>Perché l’art. 70 diventa più complesso:</w:t>
      </w:r>
    </w:p>
    <w:p w14:paraId="6F71BFA2" w14:textId="05087409" w:rsidR="001C7032" w:rsidRDefault="00331572" w:rsidP="00C5059F">
      <w:hyperlink r:id="rId11" w:history="1">
        <w:r w:rsidR="00E15E6F" w:rsidRPr="004E5635">
          <w:rPr>
            <w:rStyle w:val="Hyperlink"/>
          </w:rPr>
          <w:t>http://www.bastaunsi.it/referendum-costituzionale-articolo-70/</w:t>
        </w:r>
      </w:hyperlink>
    </w:p>
    <w:p w14:paraId="45319D15" w14:textId="77777777" w:rsidR="00E15E6F" w:rsidRDefault="00E15E6F" w:rsidP="00C5059F"/>
    <w:p w14:paraId="79D1AFBF" w14:textId="34234CC3" w:rsidR="001C7032" w:rsidRDefault="001C7032" w:rsidP="00C5059F">
      <w:r>
        <w:t>Un testo di approfondimento:</w:t>
      </w:r>
    </w:p>
    <w:p w14:paraId="7C502300" w14:textId="77777777" w:rsidR="001C7032" w:rsidRDefault="00331572" w:rsidP="00C5059F">
      <w:hyperlink r:id="rId12" w:history="1">
        <w:r w:rsidR="001C7032" w:rsidRPr="004E5635">
          <w:rPr>
            <w:rStyle w:val="Hyperlink"/>
          </w:rPr>
          <w:t>http://www.dirittoegiustizia.it/allegati/caravita_le_ragioni_del_SI.pdf</w:t>
        </w:r>
      </w:hyperlink>
    </w:p>
    <w:p w14:paraId="295BB781" w14:textId="77777777" w:rsidR="001C7032" w:rsidRDefault="001C7032" w:rsidP="00C5059F"/>
    <w:p w14:paraId="3E9B971F" w14:textId="77777777" w:rsidR="001C7032" w:rsidRPr="004945B7" w:rsidRDefault="001C7032">
      <w:pPr>
        <w:rPr>
          <w:b/>
        </w:rPr>
      </w:pPr>
    </w:p>
    <w:p w14:paraId="49D62CE4" w14:textId="53F68A45" w:rsidR="00E15E6F" w:rsidRDefault="001C7032" w:rsidP="00E15E6F">
      <w:pPr>
        <w:pStyle w:val="EndNoteBibliography"/>
        <w:ind w:left="720" w:hanging="720"/>
        <w:rPr>
          <w:noProof/>
        </w:rPr>
      </w:pPr>
      <w:r w:rsidRPr="00EF3612">
        <w:rPr>
          <w:noProof/>
        </w:rPr>
        <w:t>Benci, L. (2016). Perché ho deciso di votare no al referendum cost</w:t>
      </w:r>
      <w:r w:rsidR="00E15E6F">
        <w:rPr>
          <w:noProof/>
        </w:rPr>
        <w:t>ituzionale.</w:t>
      </w:r>
    </w:p>
    <w:p w14:paraId="72015022" w14:textId="2C9CEA66" w:rsidR="001C7032" w:rsidRPr="00E15E6F" w:rsidRDefault="00331572" w:rsidP="00E15E6F">
      <w:pPr>
        <w:pStyle w:val="EndNoteBibliography"/>
        <w:rPr>
          <w:noProof/>
        </w:rPr>
      </w:pPr>
      <w:hyperlink r:id="rId13" w:history="1">
        <w:r w:rsidR="00E15E6F" w:rsidRPr="004E5635">
          <w:rPr>
            <w:rStyle w:val="Hyperlink"/>
            <w:rFonts w:asciiTheme="minorHAnsi" w:hAnsiTheme="minorHAnsi"/>
            <w:noProof/>
            <w:lang w:val="it-IT"/>
          </w:rPr>
          <w:t>http://www.quotidianosanita.it/letterealdirettore/articolo.php?articolo_id=434</w:t>
        </w:r>
      </w:hyperlink>
    </w:p>
    <w:p w14:paraId="376C1A51" w14:textId="77777777" w:rsidR="001C7032" w:rsidRPr="001C7032" w:rsidRDefault="001C7032" w:rsidP="001C7032">
      <w:pPr>
        <w:pStyle w:val="EndNoteBibliography"/>
        <w:ind w:left="720" w:hanging="720"/>
        <w:rPr>
          <w:rFonts w:asciiTheme="minorHAnsi" w:hAnsiTheme="minorHAnsi"/>
          <w:noProof/>
          <w:lang w:val="it-IT"/>
        </w:rPr>
      </w:pPr>
    </w:p>
    <w:p w14:paraId="493A79E8" w14:textId="6C7388AD" w:rsidR="001C7032" w:rsidRDefault="00E15E6F" w:rsidP="001C7032">
      <w:pPr>
        <w:pStyle w:val="EndNoteBibliography"/>
        <w:rPr>
          <w:rFonts w:asciiTheme="minorHAnsi" w:hAnsiTheme="minorHAnsi"/>
          <w:noProof/>
          <w:lang w:val="it-IT"/>
        </w:rPr>
      </w:pPr>
      <w:r>
        <w:rPr>
          <w:noProof/>
        </w:rPr>
        <w:t xml:space="preserve">Mazziotti, A. (2016). </w:t>
      </w:r>
      <w:hyperlink r:id="rId14" w:history="1">
        <w:r w:rsidR="001C7032" w:rsidRPr="004E5635">
          <w:rPr>
            <w:rStyle w:val="Hyperlink"/>
            <w:rFonts w:asciiTheme="minorHAnsi" w:hAnsiTheme="minorHAnsi"/>
            <w:noProof/>
            <w:lang w:val="it-IT"/>
          </w:rPr>
          <w:t>http://www.andreamazziotti.eu/la-riforma-costituzionale-supera-il-bicameralismo-perfetto-se-una-riduzione-del-96-vi-pare-poco/</w:t>
        </w:r>
      </w:hyperlink>
    </w:p>
    <w:p w14:paraId="63638302" w14:textId="77777777" w:rsidR="001C7032" w:rsidRPr="00EF3612" w:rsidRDefault="001C7032" w:rsidP="001C7032">
      <w:pPr>
        <w:pStyle w:val="EndNoteBibliography"/>
        <w:rPr>
          <w:noProof/>
        </w:rPr>
      </w:pPr>
    </w:p>
    <w:p w14:paraId="7BA5D9BC" w14:textId="77777777" w:rsidR="001C7032" w:rsidRPr="00EF3612" w:rsidRDefault="001C7032" w:rsidP="00C5059F">
      <w:pPr>
        <w:pStyle w:val="EndNoteBibliography"/>
        <w:ind w:left="720" w:hanging="720"/>
        <w:rPr>
          <w:noProof/>
        </w:rPr>
      </w:pPr>
      <w:r w:rsidRPr="00EF3612">
        <w:rPr>
          <w:noProof/>
        </w:rPr>
        <w:t>Tinagli, I. (2016). L’ Economia del Si</w:t>
      </w:r>
    </w:p>
    <w:p w14:paraId="249F04B9" w14:textId="77777777" w:rsidR="001C7032" w:rsidRDefault="001C7032" w:rsidP="001C7032">
      <w:pPr>
        <w:pStyle w:val="EndNoteBibliography"/>
        <w:rPr>
          <w:rFonts w:asciiTheme="minorHAnsi" w:hAnsiTheme="minorHAnsi"/>
          <w:noProof/>
          <w:lang w:val="it-IT"/>
        </w:rPr>
      </w:pPr>
      <w:r w:rsidRPr="00EF3612">
        <w:rPr>
          <w:noProof/>
        </w:rPr>
        <w:t xml:space="preserve">l’impatto del nuovo Titolo V sulle politiche economiche e sociali. </w:t>
      </w:r>
      <w:hyperlink r:id="rId15" w:history="1">
        <w:r w:rsidRPr="004E5635">
          <w:rPr>
            <w:rStyle w:val="Hyperlink"/>
            <w:rFonts w:asciiTheme="minorHAnsi" w:hAnsiTheme="minorHAnsi"/>
            <w:noProof/>
            <w:lang w:val="it-IT"/>
          </w:rPr>
          <w:t>http://www.idemlab.org/wp-content/uploads/2016/09/Leconomia-del-si.pdf</w:t>
        </w:r>
      </w:hyperlink>
    </w:p>
    <w:p w14:paraId="0384F7C4" w14:textId="77777777" w:rsidR="001C7032" w:rsidRPr="00EF3612" w:rsidRDefault="001C7032" w:rsidP="00C5059F">
      <w:pPr>
        <w:pStyle w:val="EndNoteBibliography"/>
        <w:ind w:left="720" w:hanging="720"/>
        <w:rPr>
          <w:noProof/>
        </w:rPr>
      </w:pPr>
    </w:p>
    <w:p w14:paraId="1F21C36B" w14:textId="77777777" w:rsidR="001C7032" w:rsidRDefault="001C7032"/>
    <w:p w14:paraId="6D528F99" w14:textId="77777777" w:rsidR="00BF10AD" w:rsidRDefault="00BF10AD"/>
    <w:sectPr w:rsidR="00BF10AD" w:rsidSect="00BF10A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D02E5"/>
    <w:multiLevelType w:val="hybridMultilevel"/>
    <w:tmpl w:val="58505B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1C7032"/>
    <w:rsid w:val="000023E0"/>
    <w:rsid w:val="000C5E2C"/>
    <w:rsid w:val="001079AE"/>
    <w:rsid w:val="001C7032"/>
    <w:rsid w:val="001E0612"/>
    <w:rsid w:val="002328AC"/>
    <w:rsid w:val="00285BAD"/>
    <w:rsid w:val="00292BE2"/>
    <w:rsid w:val="002A32F0"/>
    <w:rsid w:val="002E2E3B"/>
    <w:rsid w:val="00331572"/>
    <w:rsid w:val="00361A21"/>
    <w:rsid w:val="003B53E2"/>
    <w:rsid w:val="003B659E"/>
    <w:rsid w:val="004137C6"/>
    <w:rsid w:val="00477BDE"/>
    <w:rsid w:val="00537223"/>
    <w:rsid w:val="00556DCB"/>
    <w:rsid w:val="007831DD"/>
    <w:rsid w:val="00813941"/>
    <w:rsid w:val="00840188"/>
    <w:rsid w:val="0087012D"/>
    <w:rsid w:val="00B54830"/>
    <w:rsid w:val="00B70917"/>
    <w:rsid w:val="00BF10AD"/>
    <w:rsid w:val="00C234ED"/>
    <w:rsid w:val="00C409E1"/>
    <w:rsid w:val="00C5059F"/>
    <w:rsid w:val="00DF5361"/>
    <w:rsid w:val="00E15E6F"/>
    <w:rsid w:val="00EB1001"/>
    <w:rsid w:val="00F50508"/>
    <w:rsid w:val="00F5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FCE14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1C7032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1C7032"/>
    <w:rPr>
      <w:rFonts w:ascii="Cambria" w:hAnsi="Cambria"/>
      <w:lang w:val="en-US"/>
    </w:rPr>
  </w:style>
  <w:style w:type="character" w:styleId="Hyperlink">
    <w:name w:val="Hyperlink"/>
    <w:basedOn w:val="DefaultParagraphFont"/>
    <w:uiPriority w:val="99"/>
    <w:unhideWhenUsed/>
    <w:rsid w:val="001C70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3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3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0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70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NoteBibliographyTitle">
    <w:name w:val="EndNote Bibliography Title"/>
    <w:basedOn w:val="Normal"/>
    <w:rsid w:val="001C7032"/>
    <w:pPr>
      <w:jc w:val="center"/>
    </w:pPr>
    <w:rPr>
      <w:rFonts w:ascii="Cambria" w:hAnsi="Cambria"/>
      <w:lang w:val="en-US"/>
    </w:rPr>
  </w:style>
  <w:style w:type="paragraph" w:customStyle="1" w:styleId="EndNoteBibliography">
    <w:name w:val="EndNote Bibliography"/>
    <w:basedOn w:val="Normal"/>
    <w:rsid w:val="001C7032"/>
    <w:rPr>
      <w:rFonts w:ascii="Cambria" w:hAnsi="Cambria"/>
      <w:lang w:val="en-US"/>
    </w:rPr>
  </w:style>
  <w:style w:type="character" w:styleId="Hyperlink">
    <w:name w:val="Hyperlink"/>
    <w:basedOn w:val="DefaultParagraphFont"/>
    <w:uiPriority w:val="99"/>
    <w:unhideWhenUsed/>
    <w:rsid w:val="001C70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03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03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C703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C70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bastaunsi.it/referendum-costituzionale-articolo-70/" TargetMode="External"/><Relationship Id="rId12" Type="http://schemas.openxmlformats.org/officeDocument/2006/relationships/hyperlink" Target="http://www.dirittoegiustizia.it/allegati/caravita_le_ragioni_del_SI.pdf" TargetMode="External"/><Relationship Id="rId13" Type="http://schemas.openxmlformats.org/officeDocument/2006/relationships/hyperlink" Target="http://www.quotidianosanita.it/letterealdirettore/articolo.php?articolo_id=434" TargetMode="External"/><Relationship Id="rId14" Type="http://schemas.openxmlformats.org/officeDocument/2006/relationships/hyperlink" Target="http://www.andreamazziotti.eu/la-riforma-costituzionale-supera-il-bicameralismo-perfetto-se-una-riduzione-del-96-vi-pare-poco/" TargetMode="External"/><Relationship Id="rId15" Type="http://schemas.openxmlformats.org/officeDocument/2006/relationships/hyperlink" Target="http://www.idemlab.org/wp-content/uploads/2016/09/Leconomia-del-si.pdf" TargetMode="Externa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yperlink" Target="http://www.bastaunsi.it/cambia-la-costituzio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1577</Words>
  <Characters>8993</Characters>
  <Application>Microsoft Macintosh Word</Application>
  <DocSecurity>0</DocSecurity>
  <Lines>74</Lines>
  <Paragraphs>21</Paragraphs>
  <ScaleCrop>false</ScaleCrop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24</cp:revision>
  <dcterms:created xsi:type="dcterms:W3CDTF">2016-09-27T10:43:00Z</dcterms:created>
  <dcterms:modified xsi:type="dcterms:W3CDTF">2016-09-27T14:57:00Z</dcterms:modified>
</cp:coreProperties>
</file>